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殡葬基本服务收费标准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90"/>
        <w:gridCol w:w="1269"/>
        <w:gridCol w:w="1431"/>
        <w:gridCol w:w="870"/>
        <w:gridCol w:w="825"/>
        <w:gridCol w:w="4545"/>
        <w:gridCol w:w="111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收费项目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收费标准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服务设施、服务内容等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遗体火化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  <w:tc>
          <w:tcPr>
            <w:tcW w:w="454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非正常尸体（枪决、腐尸、标本）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加一倍收费。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必须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保证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通市发改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收审批【</w:t>
            </w:r>
            <w:r>
              <w:rPr>
                <w:rFonts w:hint="eastAsia"/>
                <w:vertAlign w:val="baseline"/>
                <w:lang w:val="en-US" w:eastAsia="zh-CN"/>
              </w:rPr>
              <w:t>2013】2号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县城城区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农村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中档炉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</w:t>
            </w:r>
          </w:p>
        </w:tc>
        <w:tc>
          <w:tcPr>
            <w:tcW w:w="454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自愿</w:t>
            </w: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高档炉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遗体接运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（含抬尸、消毒）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基本服务（普通车北京二号）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145</w:t>
            </w:r>
          </w:p>
        </w:tc>
        <w:tc>
          <w:tcPr>
            <w:tcW w:w="454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保证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通市发改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收审批【</w:t>
            </w:r>
            <w:r>
              <w:rPr>
                <w:rFonts w:hint="eastAsia"/>
                <w:vertAlign w:val="baseline"/>
                <w:lang w:val="en-US" w:eastAsia="zh-CN"/>
              </w:rPr>
              <w:t>2013】2号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县城城区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农村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起车费</w:t>
            </w:r>
            <w:r>
              <w:rPr>
                <w:rFonts w:hint="eastAsia"/>
                <w:vertAlign w:val="baseline"/>
                <w:lang w:val="en-US" w:eastAsia="zh-CN"/>
              </w:rPr>
              <w:t>50元；行车费按单程里程每公里收费1元，不足10公里按10公里计价，不另收空驶费。</w:t>
            </w: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中档车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（金杯面包）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454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到鸭园、五道江、铁厂、金厂、快大茂及其以远的地方接尸，超出市区范围的（零公里起算）按单程里程每公里加收</w:t>
            </w:r>
            <w:r>
              <w:rPr>
                <w:rFonts w:hint="eastAsia"/>
                <w:vertAlign w:val="baseline"/>
                <w:lang w:val="en-US" w:eastAsia="zh-CN"/>
              </w:rPr>
              <w:t>1元，不另收空驶费。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自愿</w:t>
            </w: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高档车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（长城天马）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殡葬基本服务收费标准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63"/>
        <w:gridCol w:w="1005"/>
        <w:gridCol w:w="1395"/>
        <w:gridCol w:w="1305"/>
        <w:gridCol w:w="870"/>
        <w:gridCol w:w="735"/>
        <w:gridCol w:w="3236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收费项目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规格（</w:t>
            </w:r>
            <w:r>
              <w:rPr>
                <w:rFonts w:hint="eastAsia"/>
                <w:vertAlign w:val="baseline"/>
                <w:lang w:val="en-US" w:eastAsia="zh-CN"/>
              </w:rPr>
              <w:t>cm)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收费标准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服务设施、服务内容等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骨灰寄存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年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323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铁架、铝合金门、瓷砖地面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保证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通市发改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收审批【</w:t>
            </w:r>
            <w:r>
              <w:rPr>
                <w:rFonts w:hint="eastAsia"/>
                <w:vertAlign w:val="baseline"/>
                <w:lang w:val="en-US" w:eastAsia="zh-CN"/>
              </w:rPr>
              <w:t>2013】2号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县城城区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33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33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中档间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33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铁架、铝合金门、瓷砖地面、地革、架内铺地毯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cs="Calibri"/>
                <w:vertAlign w:val="baseline"/>
                <w:lang w:eastAsia="zh-CN"/>
              </w:rPr>
              <w:t>①</w:t>
            </w:r>
            <w:r>
              <w:rPr>
                <w:rFonts w:hint="eastAsia"/>
                <w:vertAlign w:val="baseline"/>
                <w:lang w:eastAsia="zh-CN"/>
              </w:rPr>
              <w:t>自愿选择；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cs="Calibri"/>
                <w:vertAlign w:val="baseline"/>
                <w:lang w:eastAsia="zh-CN"/>
              </w:rPr>
              <w:t>②</w:t>
            </w:r>
            <w:r>
              <w:rPr>
                <w:rFonts w:hint="eastAsia"/>
                <w:vertAlign w:val="baseline"/>
                <w:lang w:val="en-US" w:eastAsia="zh-CN"/>
              </w:rPr>
              <w:t>4、5、6层加收10元。</w:t>
            </w: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小高档间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34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铝合金架、铝合金门、瓷砖地面</w:t>
            </w: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大高档间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60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50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323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铝合金架、铝合金门、大理石地面</w:t>
            </w: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小双人间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72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35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大双人间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110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50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特型单人间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40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65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7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特型双人间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62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65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殡葬基本服务收费标准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1710"/>
        <w:gridCol w:w="1125"/>
        <w:gridCol w:w="1365"/>
        <w:gridCol w:w="855"/>
        <w:gridCol w:w="1065"/>
        <w:gridCol w:w="4485"/>
        <w:gridCol w:w="107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收费项目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收费标准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服务设施、服务内容等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3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遗体存放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（含冷藏）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基本服务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普通间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29平方米。尸体停放车、香炉、跪垫、限最多同时停尸三具。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必须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保证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通市发改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收审批【</w:t>
            </w:r>
            <w:r>
              <w:rPr>
                <w:rFonts w:hint="eastAsia"/>
                <w:vertAlign w:val="baseline"/>
                <w:lang w:val="en-US" w:eastAsia="zh-CN"/>
              </w:rPr>
              <w:t>2013】2号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3" w:hRule="atLeast"/>
        </w:trPr>
        <w:tc>
          <w:tcPr>
            <w:tcW w:w="9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特需服务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中档间</w:t>
            </w: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29平方米，内外两室、洗手盆、冷瞻棺。墙上四个绢花圈、塑钢椅两组、守灵凳、跪垫、供桌、电蜡烛、电香。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自愿</w:t>
            </w:r>
          </w:p>
        </w:tc>
        <w:tc>
          <w:tcPr>
            <w:tcW w:w="157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3" w:hRule="atLeast"/>
        </w:trPr>
        <w:tc>
          <w:tcPr>
            <w:tcW w:w="9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29平方米，内外两室、冷瞻棺、电香、电蜡烛、跪垫、供桌、守灵凳、墙上四个绢花圈、实木沙发、洗手池，大理石地面、窗帘、正面装饰墙。</w:t>
            </w: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8" w:hRule="atLeast"/>
        </w:trPr>
        <w:tc>
          <w:tcPr>
            <w:tcW w:w="9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高档间</w:t>
            </w: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87平方米。内外两室。设有豪华冷瞻棺、祭奠台、墙上四个绢花圈、电香、电蜡烛、空调器、饮水机、实木沙发一套（一个3人、2个单人、茶几）、跪垫、洗手池、大理石地面</w:t>
            </w: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8" w:hRule="atLeast"/>
        </w:trPr>
        <w:tc>
          <w:tcPr>
            <w:tcW w:w="90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冷冻</w:t>
            </w: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殡葬基本服务收费标准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5"/>
        <w:gridCol w:w="1755"/>
        <w:gridCol w:w="1440"/>
        <w:gridCol w:w="975"/>
        <w:gridCol w:w="1590"/>
        <w:gridCol w:w="4590"/>
        <w:gridCol w:w="144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收费标准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服务设施、服务内容等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租用告别厅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小型厅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85平方米，瞻仰棺、哀乐音响、十个绢花圈、正面装饰墙。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通市发改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收审批【</w:t>
            </w:r>
            <w:r>
              <w:rPr>
                <w:rFonts w:hint="eastAsia"/>
                <w:vertAlign w:val="baseline"/>
                <w:lang w:val="en-US" w:eastAsia="zh-CN"/>
              </w:rPr>
              <w:t>2013】2号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大型厅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180平方米、电子显示屏、电动升降棺、立体哀乐音响、二十个绢花圈、正面装饰墙。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租用休息厅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使用面积</w:t>
            </w:r>
            <w:r>
              <w:rPr>
                <w:rFonts w:hint="eastAsia"/>
                <w:vertAlign w:val="baseline"/>
                <w:lang w:val="en-US" w:eastAsia="zh-CN"/>
              </w:rPr>
              <w:t>90平方米、塑钢椅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委托拣送灰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骨灰负责装盒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租用尸体解剖室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上下水、排风设施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非正常死亡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现场收尸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一般遗体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7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特殊遗体、破碎尸体、腐尸</w:t>
            </w: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遗体整形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整理、美容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整形、整理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200-500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幅度内双方协商</w:t>
            </w: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殡葬档案查询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城镇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5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档案查询、出具证明。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对低保户特困户等弱势群体免费</w:t>
            </w: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农村</w:t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5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骨灰寄存证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委托处理骨灰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遗物及丧葬用品焚烧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告别厅临时租用遗体存放收费标准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9930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收费项目及标准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小告别厅临时租用费最高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限价1000元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332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通市发改【2014】377号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大告别厅临时租用费最高限价1500元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33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停灵间</w:t>
      </w:r>
      <w:r>
        <w:rPr>
          <w:rFonts w:hint="eastAsia"/>
          <w:b/>
          <w:bCs/>
          <w:sz w:val="44"/>
          <w:szCs w:val="44"/>
          <w:lang w:val="en-US" w:eastAsia="zh-CN"/>
        </w:rPr>
        <w:t>重新核定后收费标准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930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收费项目及标准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普通间（30平方米）2个：50元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天. 具</w:t>
            </w:r>
          </w:p>
        </w:tc>
        <w:tc>
          <w:tcPr>
            <w:tcW w:w="332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通市发改发【2020】55号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中等间（27平方米）12间：195元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33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高等间（30平方米）11间：420元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33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小豪华间（46平方米）3间：1000元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33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大豪华间（70平方米）1间：1600元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33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916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96E94"/>
    <w:rsid w:val="001A432A"/>
    <w:rsid w:val="0A7B0C44"/>
    <w:rsid w:val="0AC86D8D"/>
    <w:rsid w:val="142511FE"/>
    <w:rsid w:val="14831E6C"/>
    <w:rsid w:val="15A937CA"/>
    <w:rsid w:val="23250171"/>
    <w:rsid w:val="27316CBB"/>
    <w:rsid w:val="37DF6232"/>
    <w:rsid w:val="40344B1E"/>
    <w:rsid w:val="410362D7"/>
    <w:rsid w:val="439C308A"/>
    <w:rsid w:val="460D60F2"/>
    <w:rsid w:val="498750C7"/>
    <w:rsid w:val="4BEA292C"/>
    <w:rsid w:val="4CCA05E4"/>
    <w:rsid w:val="530310DA"/>
    <w:rsid w:val="543557D0"/>
    <w:rsid w:val="56F446C2"/>
    <w:rsid w:val="5B996E94"/>
    <w:rsid w:val="622865AB"/>
    <w:rsid w:val="65D20044"/>
    <w:rsid w:val="665058A0"/>
    <w:rsid w:val="696277FD"/>
    <w:rsid w:val="698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2021-10-15T05:50:00Z</dcterms:created>
  <dc:creator>Administrator</dc:creator>
  <cp:lastModifiedBy>Administrator</cp:lastModifiedBy>
  <cp:lastPrinted>2021-10-16T01:24:18Z</cp:lastPrinted>
  <dcterms:modified xsi:type="dcterms:W3CDTF">2021-10-16T01:49:32Z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A9CD9095A2BE4683AF615B05A3D09FB4</vt:lpwstr>
  </property>
</Properties>
</file>